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BF36D" w14:textId="12E1153C" w:rsidR="001F1EDC" w:rsidRPr="00316DEE" w:rsidRDefault="001F1EDC" w:rsidP="001F1EDC">
      <w:pPr>
        <w:pStyle w:val="CRCoverPage"/>
        <w:tabs>
          <w:tab w:val="right" w:pos="9360"/>
        </w:tabs>
        <w:outlineLvl w:val="0"/>
        <w:rPr>
          <w:b/>
          <w:i/>
          <w:noProof/>
          <w:sz w:val="28"/>
        </w:rPr>
      </w:pPr>
      <w:r w:rsidRPr="00316DEE">
        <w:rPr>
          <w:b/>
          <w:noProof/>
          <w:sz w:val="24"/>
        </w:rPr>
        <w:t>3GPP TSG-RAN WG2 Meeting #10</w:t>
      </w:r>
      <w:r w:rsidR="00CF7202">
        <w:rPr>
          <w:b/>
          <w:noProof/>
          <w:sz w:val="24"/>
        </w:rPr>
        <w:t>8</w:t>
      </w:r>
      <w:r w:rsidRPr="00316DEE">
        <w:rPr>
          <w:b/>
          <w:i/>
          <w:noProof/>
          <w:sz w:val="24"/>
        </w:rPr>
        <w:t xml:space="preserve"> </w:t>
      </w:r>
      <w:r>
        <w:rPr>
          <w:b/>
          <w:i/>
          <w:noProof/>
          <w:sz w:val="28"/>
        </w:rPr>
        <w:tab/>
      </w:r>
      <w:r w:rsidRPr="004E6EA2">
        <w:rPr>
          <w:b/>
          <w:noProof/>
          <w:sz w:val="28"/>
        </w:rPr>
        <w:t>R2-</w:t>
      </w:r>
      <w:r>
        <w:rPr>
          <w:b/>
          <w:noProof/>
          <w:sz w:val="28"/>
        </w:rPr>
        <w:t>19</w:t>
      </w:r>
      <w:r w:rsidR="00B46732">
        <w:rPr>
          <w:b/>
          <w:noProof/>
          <w:sz w:val="28"/>
        </w:rPr>
        <w:t>1</w:t>
      </w:r>
      <w:r w:rsidR="00967200">
        <w:rPr>
          <w:b/>
          <w:noProof/>
          <w:sz w:val="28"/>
        </w:rPr>
        <w:t>5720</w:t>
      </w:r>
    </w:p>
    <w:p w14:paraId="032684FA" w14:textId="311AF9FF" w:rsidR="001F1EDC" w:rsidRPr="00316DEE" w:rsidRDefault="00CF7202" w:rsidP="001F1EDC">
      <w:pPr>
        <w:pStyle w:val="CRCoverPage"/>
        <w:tabs>
          <w:tab w:val="right" w:pos="9639"/>
        </w:tabs>
        <w:spacing w:after="0"/>
        <w:rPr>
          <w:rFonts w:cs="Arial"/>
          <w:b/>
          <w:sz w:val="24"/>
          <w:szCs w:val="24"/>
          <w:lang w:val="en-US"/>
        </w:rPr>
      </w:pPr>
      <w:r>
        <w:rPr>
          <w:b/>
          <w:noProof/>
          <w:sz w:val="24"/>
        </w:rPr>
        <w:t>Reno, Nevada, USA 18-22 November 2019</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52CFEDD7"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E618E">
        <w:rPr>
          <w:rFonts w:ascii="Arial" w:hAnsi="Arial"/>
          <w:sz w:val="24"/>
          <w:lang w:val="en-US"/>
        </w:rPr>
        <w:t>7</w:t>
      </w:r>
      <w:r>
        <w:rPr>
          <w:rFonts w:ascii="Arial" w:hAnsi="Arial"/>
          <w:sz w:val="24"/>
          <w:lang w:val="en-US"/>
        </w:rPr>
        <w:t>.</w:t>
      </w:r>
      <w:r w:rsidR="001635D1">
        <w:rPr>
          <w:rFonts w:ascii="Arial" w:hAnsi="Arial"/>
          <w:sz w:val="24"/>
          <w:lang w:val="en-US"/>
        </w:rPr>
        <w:t>1.</w:t>
      </w:r>
      <w:r w:rsidR="00967200">
        <w:rPr>
          <w:rFonts w:ascii="Arial" w:hAnsi="Arial"/>
          <w:sz w:val="24"/>
          <w:lang w:val="en-US"/>
        </w:rPr>
        <w:t>2, 7.2.2</w:t>
      </w:r>
    </w:p>
    <w:p w14:paraId="3EE05418" w14:textId="77777777"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3F06EE17" w14:textId="350B42A3"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967200" w:rsidRPr="00967200">
        <w:rPr>
          <w:rFonts w:ascii="Arial" w:hAnsi="Arial"/>
          <w:sz w:val="22"/>
          <w:lang w:val="en-US"/>
        </w:rPr>
        <w:t xml:space="preserve">MT-EDT related Editor's Notes and </w:t>
      </w:r>
      <w:proofErr w:type="spellStart"/>
      <w:r w:rsidR="00967200" w:rsidRPr="00967200">
        <w:rPr>
          <w:rFonts w:ascii="Arial" w:hAnsi="Arial"/>
          <w:sz w:val="22"/>
          <w:lang w:val="en-US"/>
        </w:rPr>
        <w:t>FFSes</w:t>
      </w:r>
      <w:proofErr w:type="spellEnd"/>
      <w:r w:rsidR="00967200" w:rsidRPr="00967200">
        <w:rPr>
          <w:rFonts w:ascii="Arial" w:hAnsi="Arial"/>
          <w:sz w:val="22"/>
          <w:lang w:val="en-US"/>
        </w:rPr>
        <w:t xml:space="preserve"> in RRC running CR</w:t>
      </w:r>
    </w:p>
    <w:p w14:paraId="07E8CC3D" w14:textId="4C134C32" w:rsidR="001F1EDC" w:rsidRPr="00316DEE" w:rsidRDefault="001F1EDC" w:rsidP="00D87EE9">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D87EE9">
        <w:rPr>
          <w:rFonts w:ascii="Arial" w:hAnsi="Arial"/>
          <w:sz w:val="24"/>
          <w:lang w:val="en-US"/>
        </w:rPr>
        <w:tab/>
      </w:r>
      <w:r w:rsidRPr="00316DEE">
        <w:rPr>
          <w:rFonts w:ascii="Arial" w:hAnsi="Arial"/>
          <w:sz w:val="24"/>
          <w:lang w:val="en-US"/>
        </w:rPr>
        <w:t>Discussion/Decision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3280F599" w14:textId="056FDBC2" w:rsidR="00967200" w:rsidRDefault="00F64ED3" w:rsidP="00F64ED3">
      <w:pPr>
        <w:jc w:val="both"/>
      </w:pPr>
      <w:r>
        <w:t xml:space="preserve">The latest </w:t>
      </w:r>
      <w:r w:rsidR="001E75E8">
        <w:t>revision</w:t>
      </w:r>
      <w:r>
        <w:t xml:space="preserve"> of</w:t>
      </w:r>
      <w:r w:rsidR="00DD5BB7">
        <w:t xml:space="preserve"> the</w:t>
      </w:r>
      <w:r>
        <w:t xml:space="preserve"> RRC running CR for Rel-16 </w:t>
      </w:r>
      <w:proofErr w:type="spellStart"/>
      <w:r>
        <w:t>eMTC</w:t>
      </w:r>
      <w:proofErr w:type="spellEnd"/>
      <w:r>
        <w:t xml:space="preserve"> is provided in </w:t>
      </w:r>
      <w:r w:rsidRPr="00967200">
        <w:t>R2-19</w:t>
      </w:r>
      <w:r w:rsidR="00967200">
        <w:t>15717</w:t>
      </w:r>
      <w:r w:rsidR="00FA1D68">
        <w:t xml:space="preserve"> </w:t>
      </w:r>
      <w:r w:rsidR="00DD5BB7">
        <w:t>(</w:t>
      </w:r>
      <w:r w:rsidR="00FA1D68">
        <w:t xml:space="preserve">which </w:t>
      </w:r>
      <w:r w:rsidR="00DD5BB7">
        <w:t xml:space="preserve">includes minor updates compared to version </w:t>
      </w:r>
      <w:r w:rsidR="00FA1D68">
        <w:t xml:space="preserve">endorsed by email discussion </w:t>
      </w:r>
      <w:r w:rsidR="00FA1D68" w:rsidRPr="00FA1D68">
        <w:t>[107</w:t>
      </w:r>
      <w:r w:rsidR="007410C2">
        <w:t>bis</w:t>
      </w:r>
      <w:r w:rsidR="00FA1D68" w:rsidRPr="00FA1D68">
        <w:t>#2</w:t>
      </w:r>
      <w:r w:rsidR="007410C2">
        <w:t>9</w:t>
      </w:r>
      <w:r w:rsidR="00FA1D68" w:rsidRPr="00FA1D68">
        <w:t>]</w:t>
      </w:r>
      <w:r w:rsidR="00FA1D68">
        <w:t xml:space="preserve"> in R2-191</w:t>
      </w:r>
      <w:r w:rsidR="007410C2">
        <w:t>4038</w:t>
      </w:r>
      <w:r w:rsidR="00FA1D68">
        <w:t>)</w:t>
      </w:r>
      <w:r>
        <w:t xml:space="preserve">. </w:t>
      </w:r>
    </w:p>
    <w:p w14:paraId="1027121C" w14:textId="0C08390A" w:rsidR="00F64ED3" w:rsidRDefault="001E75E8" w:rsidP="00F64ED3">
      <w:pPr>
        <w:jc w:val="both"/>
      </w:pPr>
      <w:r>
        <w:t>In t</w:t>
      </w:r>
      <w:r w:rsidR="00F64ED3">
        <w:t>his document</w:t>
      </w:r>
      <w:r>
        <w:t>, we</w:t>
      </w:r>
      <w:r w:rsidR="00F64ED3">
        <w:t xml:space="preserve"> discus</w:t>
      </w:r>
      <w:r>
        <w:t>s</w:t>
      </w:r>
      <w:r w:rsidR="00F64ED3">
        <w:t xml:space="preserve"> about some of the Editor’s Notes and </w:t>
      </w:r>
      <w:proofErr w:type="spellStart"/>
      <w:r w:rsidR="00F64ED3">
        <w:t>FFSes</w:t>
      </w:r>
      <w:proofErr w:type="spellEnd"/>
      <w:r w:rsidR="00F64ED3">
        <w:t xml:space="preserve"> in the running CR and aim to propose resolution</w:t>
      </w:r>
      <w:r>
        <w:t>s</w:t>
      </w:r>
      <w:r w:rsidR="00F64ED3">
        <w:t>.</w:t>
      </w:r>
    </w:p>
    <w:p w14:paraId="3FEDDD19" w14:textId="0045C870" w:rsidR="001F1EDC" w:rsidRDefault="00F64ED3" w:rsidP="00F64ED3">
      <w:pPr>
        <w:pStyle w:val="Heading1"/>
      </w:pPr>
      <w:r>
        <w:t xml:space="preserve"> </w:t>
      </w:r>
      <w:r w:rsidR="009F40E5">
        <w:t>Discussion</w:t>
      </w:r>
      <w:r w:rsidR="004736B9">
        <w:t xml:space="preserve"> </w:t>
      </w:r>
    </w:p>
    <w:p w14:paraId="2347D410" w14:textId="496C007D" w:rsidR="004736B9" w:rsidRDefault="004736B9" w:rsidP="004736B9">
      <w:r>
        <w:t xml:space="preserve">In the following, the </w:t>
      </w:r>
      <w:r w:rsidR="001E75E8">
        <w:t xml:space="preserve">Editor’s Notes and </w:t>
      </w:r>
      <w:proofErr w:type="spellStart"/>
      <w:r>
        <w:t>FFSes</w:t>
      </w:r>
      <w:proofErr w:type="spellEnd"/>
      <w:r>
        <w:t xml:space="preserve"> will be discussed in groups whenever possible. Therefore, they may not be discussed in the same order as they appear </w:t>
      </w:r>
      <w:r w:rsidR="001E75E8">
        <w:t>in the running CR</w:t>
      </w:r>
      <w:r>
        <w:t>.</w:t>
      </w:r>
    </w:p>
    <w:p w14:paraId="0D3755B1" w14:textId="0FA6E51E" w:rsidR="006F5DA7" w:rsidRDefault="006F5DA7" w:rsidP="00F43795">
      <w:pPr>
        <w:pStyle w:val="Heading2"/>
        <w:ind w:left="540"/>
      </w:pPr>
      <w:r>
        <w:t>MT EDT definition</w:t>
      </w:r>
    </w:p>
    <w:p w14:paraId="68737829" w14:textId="77777777" w:rsidR="00547CE3" w:rsidRDefault="00F21310" w:rsidP="006F5DA7">
      <w:r>
        <w:t xml:space="preserve">During the </w:t>
      </w:r>
      <w:r w:rsidR="006F5DA7">
        <w:t xml:space="preserve">running CR </w:t>
      </w:r>
      <w:r>
        <w:t xml:space="preserve">email discussion, definition of MT EDT from previous version was reverted to legacy Rel-15 text (i.e., no need to define MT-EDT separately). </w:t>
      </w:r>
    </w:p>
    <w:p w14:paraId="10B0755C" w14:textId="70CC4B59" w:rsidR="006F5DA7" w:rsidRDefault="00F21310" w:rsidP="006F5DA7">
      <w:r>
        <w:t>However, NB-IoT running CR</w:t>
      </w:r>
      <w:r w:rsidR="00547CE3">
        <w:t xml:space="preserve"> in R2-1914101</w:t>
      </w:r>
      <w:r>
        <w:t xml:space="preserve"> includes </w:t>
      </w:r>
      <w:r w:rsidR="00547CE3">
        <w:t>the</w:t>
      </w:r>
      <w:r>
        <w:t xml:space="preserve"> definition for MT-EDT as follows.</w:t>
      </w:r>
    </w:p>
    <w:tbl>
      <w:tblPr>
        <w:tblStyle w:val="TableGrid"/>
        <w:tblW w:w="0" w:type="auto"/>
        <w:tblLook w:val="04A0" w:firstRow="1" w:lastRow="0" w:firstColumn="1" w:lastColumn="0" w:noHBand="0" w:noVBand="1"/>
      </w:tblPr>
      <w:tblGrid>
        <w:gridCol w:w="9350"/>
      </w:tblGrid>
      <w:tr w:rsidR="00F21310" w14:paraId="7229839E" w14:textId="77777777" w:rsidTr="00F21310">
        <w:tc>
          <w:tcPr>
            <w:tcW w:w="9350" w:type="dxa"/>
          </w:tcPr>
          <w:p w14:paraId="3DAB4979" w14:textId="7F28586D" w:rsidR="00F21310" w:rsidRDefault="00F21310" w:rsidP="00F21310">
            <w:pPr>
              <w:numPr>
                <w:ilvl w:val="0"/>
                <w:numId w:val="0"/>
              </w:numPr>
              <w:rPr>
                <w:b/>
              </w:rPr>
            </w:pPr>
            <w:r w:rsidRPr="00F21310">
              <w:rPr>
                <w:b/>
                <w:color w:val="FF0000"/>
              </w:rPr>
              <w:t xml:space="preserve">Mobile Originated </w:t>
            </w:r>
            <w:r w:rsidRPr="00867590">
              <w:rPr>
                <w:b/>
              </w:rPr>
              <w:t xml:space="preserve">Early Data Transmission: </w:t>
            </w:r>
            <w:r w:rsidRPr="00867590">
              <w:t xml:space="preserve">Allows one uplink data transmission optionally followed by one downlink data transmission during the </w:t>
            </w:r>
            <w:proofErr w:type="gramStart"/>
            <w:r w:rsidRPr="00867590">
              <w:t>random access</w:t>
            </w:r>
            <w:proofErr w:type="gramEnd"/>
            <w:r w:rsidRPr="00867590">
              <w:t xml:space="preserve"> procedure as specified in TS 36.300 [9]. The S1 connection is established or resumed upon reception of the uplink data and may be released or suspended along with the transmission of the downlink data.</w:t>
            </w:r>
            <w:r>
              <w:t xml:space="preserve"> </w:t>
            </w:r>
            <w:r w:rsidRPr="00F21310">
              <w:rPr>
                <w:strike/>
                <w:color w:val="FF0000"/>
              </w:rPr>
              <w:t>Early data transmission refers to both CP-EDT and UP-EDT.</w:t>
            </w:r>
          </w:p>
          <w:p w14:paraId="1449E6D7" w14:textId="49D53DB1" w:rsidR="00F21310" w:rsidRPr="00F21310" w:rsidRDefault="00F21310" w:rsidP="00F21310">
            <w:pPr>
              <w:numPr>
                <w:ilvl w:val="0"/>
                <w:numId w:val="0"/>
              </w:numPr>
              <w:rPr>
                <w:b/>
                <w:color w:val="FF0000"/>
              </w:rPr>
            </w:pPr>
            <w:r w:rsidRPr="00F21310">
              <w:rPr>
                <w:b/>
                <w:color w:val="FF0000"/>
              </w:rPr>
              <w:t xml:space="preserve">Mobile Terminated Early Data Transmission: </w:t>
            </w:r>
            <w:r w:rsidRPr="00F21310">
              <w:rPr>
                <w:color w:val="FF0000"/>
              </w:rPr>
              <w:t xml:space="preserve">Allows one downlink data transmission during the </w:t>
            </w:r>
            <w:proofErr w:type="gramStart"/>
            <w:r w:rsidRPr="00F21310">
              <w:rPr>
                <w:color w:val="FF0000"/>
              </w:rPr>
              <w:t>random access</w:t>
            </w:r>
            <w:proofErr w:type="gramEnd"/>
            <w:r w:rsidRPr="00F21310">
              <w:rPr>
                <w:color w:val="FF0000"/>
              </w:rPr>
              <w:t xml:space="preserve"> procedure as specified in TS 36.300 [9].</w:t>
            </w:r>
          </w:p>
        </w:tc>
      </w:tr>
    </w:tbl>
    <w:p w14:paraId="2C7F9C26" w14:textId="36963000" w:rsidR="00F21310" w:rsidRDefault="00F21310" w:rsidP="006F5DA7"/>
    <w:p w14:paraId="3ABC53CE" w14:textId="5F4A22AB" w:rsidR="00F21310" w:rsidRDefault="00F21310" w:rsidP="006F5DA7">
      <w:r>
        <w:t xml:space="preserve">There can be following issues with above definition. </w:t>
      </w:r>
    </w:p>
    <w:p w14:paraId="3A20EE56" w14:textId="6B05BD16" w:rsidR="00F21310" w:rsidRDefault="00171921" w:rsidP="00F21310">
      <w:pPr>
        <w:pStyle w:val="ListParagraph"/>
        <w:numPr>
          <w:ilvl w:val="0"/>
          <w:numId w:val="26"/>
        </w:numPr>
      </w:pPr>
      <w:r>
        <w:t>EDT refers to both CP-EDT and UP-EDT should not be removed. Otherwise it becomes unclear in different parts of RRC CR.</w:t>
      </w:r>
    </w:p>
    <w:p w14:paraId="10B13935" w14:textId="5C5C428E" w:rsidR="00171921" w:rsidRDefault="00171921" w:rsidP="00F21310">
      <w:pPr>
        <w:pStyle w:val="ListParagraph"/>
        <w:numPr>
          <w:ilvl w:val="0"/>
          <w:numId w:val="26"/>
        </w:numPr>
      </w:pPr>
      <w:r>
        <w:t>With above structure, a formal definition of EDT does not exist, i.e., all instances of EDT need to be updated to either MO-EDT or MT-EDT.</w:t>
      </w:r>
    </w:p>
    <w:p w14:paraId="5A721CEC" w14:textId="0E7C4B4D" w:rsidR="00171921" w:rsidRDefault="00171921" w:rsidP="00171921">
      <w:r>
        <w:t>Not changing the existing definition and keeping the legacy text as is has the following issues:</w:t>
      </w:r>
    </w:p>
    <w:p w14:paraId="516182E4" w14:textId="7F5CAFC2" w:rsidR="00171921" w:rsidRDefault="00171921" w:rsidP="00171921">
      <w:pPr>
        <w:pStyle w:val="ListParagraph"/>
        <w:numPr>
          <w:ilvl w:val="0"/>
          <w:numId w:val="26"/>
        </w:numPr>
      </w:pPr>
      <w:r>
        <w:t xml:space="preserve">With introduction of MT-EDT, it is not entirely correct to imply that (all forms of) EDT always involve one uplink data transmission. It can be argued that “allows one uplink” is still correct in case of MT-EDT, but </w:t>
      </w:r>
      <w:r>
        <w:lastRenderedPageBreak/>
        <w:t>that is not completely unambiguous. From specification point of view, if UE wants to send UL data</w:t>
      </w:r>
      <w:r w:rsidR="00B765AF">
        <w:t xml:space="preserve"> as part of EDT</w:t>
      </w:r>
      <w:r>
        <w:t xml:space="preserve"> upon reception of </w:t>
      </w:r>
      <w:proofErr w:type="spellStart"/>
      <w:r w:rsidR="00330DA7">
        <w:t>mt</w:t>
      </w:r>
      <w:proofErr w:type="spellEnd"/>
      <w:r>
        <w:t>-EDT indication in paging, the subsequent procedure should still be considered MO-EDT (i.e., cause values corresponding to Rel-15 EDT, PRACH preamble corresponding to EDT etc.).</w:t>
      </w:r>
      <w:r w:rsidR="00C849F1">
        <w:t xml:space="preserve"> This is also in-line with SA2 assumption (see LS reply from SA2 in R2-1914356/S2-1910804).</w:t>
      </w:r>
    </w:p>
    <w:p w14:paraId="44091D68" w14:textId="46D4AA07" w:rsidR="00171921" w:rsidRDefault="00171921" w:rsidP="00171921">
      <w:pPr>
        <w:pStyle w:val="ListParagraph"/>
        <w:numPr>
          <w:ilvl w:val="0"/>
          <w:numId w:val="26"/>
        </w:numPr>
      </w:pPr>
      <w:r>
        <w:t>“</w:t>
      </w:r>
      <w:r w:rsidRPr="00867590">
        <w:t>The S1 connection is established or resumed upon reception of the uplink data</w:t>
      </w:r>
      <w:r>
        <w:t xml:space="preserve">” is not applicable </w:t>
      </w:r>
      <w:r w:rsidR="00B765AF">
        <w:t>in case of</w:t>
      </w:r>
      <w:r>
        <w:t xml:space="preserve"> MT-EDT.</w:t>
      </w:r>
    </w:p>
    <w:p w14:paraId="678BB7E4" w14:textId="6AE37EB7" w:rsidR="00A956E8" w:rsidRDefault="00A956E8" w:rsidP="00A956E8">
      <w:r>
        <w:t>Therefore, the definition of EDT should be updated as follows:</w:t>
      </w:r>
    </w:p>
    <w:tbl>
      <w:tblPr>
        <w:tblStyle w:val="TableGrid"/>
        <w:tblW w:w="0" w:type="auto"/>
        <w:tblLook w:val="04A0" w:firstRow="1" w:lastRow="0" w:firstColumn="1" w:lastColumn="0" w:noHBand="0" w:noVBand="1"/>
      </w:tblPr>
      <w:tblGrid>
        <w:gridCol w:w="9350"/>
      </w:tblGrid>
      <w:tr w:rsidR="00A956E8" w14:paraId="79946A8A" w14:textId="77777777" w:rsidTr="00A956E8">
        <w:tc>
          <w:tcPr>
            <w:tcW w:w="9350" w:type="dxa"/>
          </w:tcPr>
          <w:p w14:paraId="3F60A485" w14:textId="3481189C" w:rsidR="00A956E8" w:rsidRPr="00A956E8" w:rsidRDefault="00A956E8" w:rsidP="00A956E8">
            <w:pPr>
              <w:numPr>
                <w:ilvl w:val="0"/>
                <w:numId w:val="0"/>
              </w:numPr>
              <w:rPr>
                <w:b/>
              </w:rPr>
            </w:pPr>
            <w:r>
              <w:rPr>
                <w:b/>
              </w:rPr>
              <w:t>Early Data Transmission:</w:t>
            </w:r>
            <w:r>
              <w:t xml:space="preserve"> </w:t>
            </w:r>
            <w:r w:rsidRPr="00A956E8">
              <w:rPr>
                <w:color w:val="FF0000"/>
              </w:rPr>
              <w:t>Mobile originated EDT a</w:t>
            </w:r>
            <w:r>
              <w:t xml:space="preserve">llows one uplink data transmission optionally followed by one downlink data transmission during the </w:t>
            </w:r>
            <w:proofErr w:type="gramStart"/>
            <w:r>
              <w:t>random access</w:t>
            </w:r>
            <w:proofErr w:type="gramEnd"/>
            <w:r>
              <w:t xml:space="preserve"> procedure as specified in TS 36.300 [9]. The S1 connection is established or resumed upon reception of the uplink data and may be released or suspended along with the transmission of the downlink data. </w:t>
            </w:r>
            <w:r w:rsidRPr="00A956E8">
              <w:rPr>
                <w:color w:val="FF0000"/>
              </w:rPr>
              <w:t>Mobile terminated EDT</w:t>
            </w:r>
            <w:r>
              <w:rPr>
                <w:color w:val="FF0000"/>
              </w:rPr>
              <w:t xml:space="preserve"> allows</w:t>
            </w:r>
            <w:r w:rsidRPr="00F21310">
              <w:rPr>
                <w:color w:val="FF0000"/>
              </w:rPr>
              <w:t xml:space="preserve"> one downlink data transmission during the </w:t>
            </w:r>
            <w:proofErr w:type="gramStart"/>
            <w:r w:rsidRPr="00F21310">
              <w:rPr>
                <w:color w:val="FF0000"/>
              </w:rPr>
              <w:t>random access</w:t>
            </w:r>
            <w:proofErr w:type="gramEnd"/>
            <w:r w:rsidRPr="00F21310">
              <w:rPr>
                <w:color w:val="FF0000"/>
              </w:rPr>
              <w:t xml:space="preserve"> procedure as specified in TS 36.300 [9].</w:t>
            </w:r>
            <w:r>
              <w:rPr>
                <w:color w:val="FF0000"/>
              </w:rPr>
              <w:t xml:space="preserve"> </w:t>
            </w:r>
            <w:r>
              <w:t>Early data transmission refers to both CP-EDT and UP-EDT.</w:t>
            </w:r>
          </w:p>
        </w:tc>
      </w:tr>
    </w:tbl>
    <w:p w14:paraId="3879CFA1" w14:textId="77777777" w:rsidR="00A956E8" w:rsidRDefault="00A956E8" w:rsidP="00A956E8"/>
    <w:p w14:paraId="29AB427D" w14:textId="75479A0E" w:rsidR="00EF65F5" w:rsidRDefault="00EF65F5" w:rsidP="00494055">
      <w:pPr>
        <w:pStyle w:val="Proposal"/>
      </w:pPr>
      <w:bookmarkStart w:id="2" w:name="_Toc23951872"/>
      <w:bookmarkStart w:id="3" w:name="_Toc24028476"/>
      <w:bookmarkStart w:id="4" w:name="_Toc24028577"/>
      <w:bookmarkStart w:id="5" w:name="_Toc24029621"/>
      <w:bookmarkStart w:id="6" w:name="_Toc24029973"/>
      <w:bookmarkStart w:id="7" w:name="_Toc21360417"/>
      <w:bookmarkStart w:id="8" w:name="_Toc21425162"/>
      <w:bookmarkStart w:id="9" w:name="_Toc23946097"/>
      <w:bookmarkStart w:id="10" w:name="_Toc24061000"/>
      <w:r>
        <w:t>Regardless of UE receiv</w:t>
      </w:r>
      <w:r w:rsidR="00485D64">
        <w:t>ing</w:t>
      </w:r>
      <w:r>
        <w:t xml:space="preserve"> mt-EDT indication in </w:t>
      </w:r>
      <w:r w:rsidR="00FF73B9">
        <w:t>P</w:t>
      </w:r>
      <w:r>
        <w:t>aging, if transmission of UL data is initiated using EDT the subsequent procedure is considered MO-EDT (e.g. resume cause/establishment cause used in MO-EDT appl</w:t>
      </w:r>
      <w:r w:rsidR="00485D64">
        <w:t>ies</w:t>
      </w:r>
      <w:r>
        <w:t>).</w:t>
      </w:r>
      <w:bookmarkEnd w:id="2"/>
      <w:bookmarkEnd w:id="3"/>
      <w:bookmarkEnd w:id="4"/>
      <w:bookmarkEnd w:id="5"/>
      <w:bookmarkEnd w:id="6"/>
      <w:bookmarkEnd w:id="10"/>
    </w:p>
    <w:p w14:paraId="6679294F" w14:textId="2BB2FEC7" w:rsidR="006F5DA7" w:rsidRDefault="00494055" w:rsidP="00494055">
      <w:pPr>
        <w:pStyle w:val="Proposal"/>
      </w:pPr>
      <w:bookmarkStart w:id="11" w:name="_Toc23951873"/>
      <w:bookmarkStart w:id="12" w:name="_Toc24028477"/>
      <w:bookmarkStart w:id="13" w:name="_Toc24028578"/>
      <w:bookmarkStart w:id="14" w:name="_Toc24029622"/>
      <w:bookmarkStart w:id="15" w:name="_Toc24029974"/>
      <w:bookmarkStart w:id="16" w:name="_Toc24061001"/>
      <w:r w:rsidRPr="00494055">
        <w:t>U</w:t>
      </w:r>
      <w:r w:rsidR="00110F3A" w:rsidRPr="00494055">
        <w:t>pdate EDT definition to include</w:t>
      </w:r>
      <w:r w:rsidR="006F5DA7" w:rsidRPr="00494055">
        <w:t xml:space="preserve"> MT-EDT </w:t>
      </w:r>
      <w:bookmarkEnd w:id="7"/>
      <w:bookmarkEnd w:id="8"/>
      <w:r w:rsidR="002E1CF2">
        <w:t>as follows: change</w:t>
      </w:r>
      <w:r w:rsidR="00D95568">
        <w:t xml:space="preserve"> the </w:t>
      </w:r>
      <w:r w:rsidR="00D95568" w:rsidRPr="00494055">
        <w:t>start of first sentence</w:t>
      </w:r>
      <w:r w:rsidR="00D95568">
        <w:t xml:space="preserve"> to</w:t>
      </w:r>
      <w:r w:rsidRPr="00494055">
        <w:t xml:space="preserve"> “Mobile originated EDT</w:t>
      </w:r>
      <w:r w:rsidR="00D95568">
        <w:t xml:space="preserve"> allows ...</w:t>
      </w:r>
      <w:r w:rsidRPr="00494055">
        <w:t xml:space="preserve">” and add “Mobile terminated EDT allows one downlink data transmission during the </w:t>
      </w:r>
      <w:proofErr w:type="gramStart"/>
      <w:r w:rsidRPr="00494055">
        <w:t>random access</w:t>
      </w:r>
      <w:proofErr w:type="gramEnd"/>
      <w:r w:rsidRPr="00494055">
        <w:t xml:space="preserve"> procedure as specified in TS 36.300 [9].” after second sentence.</w:t>
      </w:r>
      <w:bookmarkEnd w:id="9"/>
      <w:bookmarkEnd w:id="11"/>
      <w:bookmarkEnd w:id="12"/>
      <w:bookmarkEnd w:id="13"/>
      <w:bookmarkEnd w:id="14"/>
      <w:bookmarkEnd w:id="15"/>
      <w:bookmarkEnd w:id="16"/>
    </w:p>
    <w:p w14:paraId="251B7335" w14:textId="51BC76CC" w:rsidR="00450B4B" w:rsidRDefault="00450B4B" w:rsidP="00450B4B">
      <w:pPr>
        <w:pStyle w:val="Heading2"/>
        <w:ind w:left="540"/>
      </w:pPr>
      <w:r>
        <w:t>Editor’s Note in 5.3.3.1</w:t>
      </w:r>
      <w:r w:rsidR="006D3B71">
        <w:t xml:space="preserve"> and 5.6.5.3:</w:t>
      </w:r>
    </w:p>
    <w:p w14:paraId="291F85F5" w14:textId="77777777" w:rsidR="00450B4B" w:rsidRDefault="00450B4B" w:rsidP="00450B4B">
      <w:r>
        <w:t>The running CR has the following Editor’s Note in subclause 5.3.3.1:</w:t>
      </w:r>
    </w:p>
    <w:p w14:paraId="3962C958" w14:textId="77777777" w:rsidR="00450B4B" w:rsidRPr="005544CF" w:rsidRDefault="00450B4B" w:rsidP="00450B4B">
      <w:pPr>
        <w:pStyle w:val="EditorsNote"/>
      </w:pPr>
      <w:r>
        <w:t>Editor’s Note: Changes are expected here related to MT-EDT.</w:t>
      </w:r>
    </w:p>
    <w:p w14:paraId="6119F931" w14:textId="18E40A88" w:rsidR="006D3B71" w:rsidRDefault="006D3B71" w:rsidP="006D3B71">
      <w:r>
        <w:t xml:space="preserve">Further, following Editor’s Note is captured in subclause 5.6.5.3: 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p>
    <w:p w14:paraId="3C79A7D7" w14:textId="77777777" w:rsidR="006D3B71" w:rsidRDefault="006D3B71" w:rsidP="006D3B71">
      <w:pPr>
        <w:pStyle w:val="EditorsNote"/>
        <w:rPr>
          <w:lang w:val="en-GB"/>
        </w:rPr>
      </w:pPr>
      <w:r>
        <w:t>Editor’s Note: revisit</w:t>
      </w:r>
      <w:r>
        <w:rPr>
          <w:lang w:val="en-US"/>
        </w:rPr>
        <w:t xml:space="preserve"> after MT-EDT is concluded</w:t>
      </w:r>
      <w:r>
        <w:t xml:space="preserve"> if any changes needed on </w:t>
      </w:r>
      <w:proofErr w:type="spellStart"/>
      <w:r w:rsidRPr="00657616">
        <w:rPr>
          <w:i/>
        </w:rPr>
        <w:t>edt</w:t>
      </w:r>
      <w:proofErr w:type="spellEnd"/>
      <w:r w:rsidRPr="00657616">
        <w:rPr>
          <w:i/>
        </w:rPr>
        <w:t>-Fallback</w:t>
      </w:r>
      <w:r>
        <w:t xml:space="preserve"> as result of introduction of MT-EDT.</w:t>
      </w:r>
      <w:r>
        <w:rPr>
          <w:lang w:val="en-US"/>
        </w:rPr>
        <w:t xml:space="preserve"> </w:t>
      </w:r>
    </w:p>
    <w:p w14:paraId="7FE075F3" w14:textId="77777777" w:rsidR="006D3B71" w:rsidRDefault="006D3B71" w:rsidP="00450B4B"/>
    <w:p w14:paraId="1DD2F76F" w14:textId="649D4156" w:rsidR="00450B4B" w:rsidRDefault="00450B4B" w:rsidP="00450B4B">
      <w:r>
        <w:t>Given that RAN2 is aiming to specify MT-EDT with minimal changes and mostly based on Rel-15 MO-EDT, the main two changes are</w:t>
      </w:r>
    </w:p>
    <w:p w14:paraId="416B1539" w14:textId="77777777" w:rsidR="00450B4B" w:rsidRPr="00AC036F" w:rsidRDefault="00450B4B" w:rsidP="00450B4B">
      <w:pPr>
        <w:pStyle w:val="ListParagraph"/>
        <w:numPr>
          <w:ilvl w:val="0"/>
          <w:numId w:val="26"/>
        </w:numPr>
        <w:rPr>
          <w:lang w:val="en-US"/>
        </w:rPr>
      </w:pPr>
      <w:proofErr w:type="spellStart"/>
      <w:r>
        <w:t>mt</w:t>
      </w:r>
      <w:proofErr w:type="spellEnd"/>
      <w:r>
        <w:t>-EDT indication in paging message</w:t>
      </w:r>
    </w:p>
    <w:p w14:paraId="4419F284" w14:textId="77777777" w:rsidR="00450B4B" w:rsidRDefault="00450B4B" w:rsidP="00450B4B">
      <w:pPr>
        <w:pStyle w:val="ListParagraph"/>
        <w:numPr>
          <w:ilvl w:val="0"/>
          <w:numId w:val="26"/>
        </w:numPr>
        <w:rPr>
          <w:lang w:val="en-US"/>
        </w:rPr>
      </w:pPr>
      <w:r>
        <w:rPr>
          <w:lang w:val="en-US"/>
        </w:rPr>
        <w:t xml:space="preserve">Ability to include </w:t>
      </w:r>
      <w:proofErr w:type="spellStart"/>
      <w:r>
        <w:rPr>
          <w:lang w:val="en-US"/>
        </w:rPr>
        <w:t>dedicatedInfoNAS</w:t>
      </w:r>
      <w:proofErr w:type="spellEnd"/>
      <w:r>
        <w:rPr>
          <w:lang w:val="en-US"/>
        </w:rPr>
        <w:t xml:space="preserve"> in </w:t>
      </w:r>
      <w:proofErr w:type="spellStart"/>
      <w:r>
        <w:rPr>
          <w:lang w:val="en-US"/>
        </w:rPr>
        <w:t>RRCConnectionSetup</w:t>
      </w:r>
      <w:proofErr w:type="spellEnd"/>
      <w:r>
        <w:rPr>
          <w:lang w:val="en-US"/>
        </w:rPr>
        <w:t xml:space="preserve"> in response to </w:t>
      </w:r>
      <w:proofErr w:type="spellStart"/>
      <w:r>
        <w:rPr>
          <w:lang w:val="en-US"/>
        </w:rPr>
        <w:t>RRCEarlyDataRequest</w:t>
      </w:r>
      <w:proofErr w:type="spellEnd"/>
      <w:r>
        <w:rPr>
          <w:lang w:val="en-US"/>
        </w:rPr>
        <w:t>.</w:t>
      </w:r>
    </w:p>
    <w:p w14:paraId="32797E62" w14:textId="137D8EBE" w:rsidR="00450B4B" w:rsidRDefault="00450B4B" w:rsidP="00450B4B">
      <w:pPr>
        <w:rPr>
          <w:lang w:val="en-US"/>
        </w:rPr>
      </w:pPr>
      <w:proofErr w:type="gramStart"/>
      <w:r>
        <w:rPr>
          <w:lang w:val="en-US"/>
        </w:rPr>
        <w:t>Both of these</w:t>
      </w:r>
      <w:proofErr w:type="gramEnd"/>
      <w:r>
        <w:rPr>
          <w:lang w:val="en-US"/>
        </w:rPr>
        <w:t xml:space="preserve"> should not have any impact on the call flow diagrams captured in 5.3.3.1</w:t>
      </w:r>
      <w:r w:rsidR="006D3B71">
        <w:rPr>
          <w:lang w:val="en-US"/>
        </w:rPr>
        <w:t xml:space="preserve"> as well as </w:t>
      </w:r>
      <w:proofErr w:type="spellStart"/>
      <w:r w:rsidR="006D3B71" w:rsidRPr="006D3B71">
        <w:rPr>
          <w:i/>
          <w:lang w:val="en-US"/>
        </w:rPr>
        <w:t>edt</w:t>
      </w:r>
      <w:proofErr w:type="spellEnd"/>
      <w:r w:rsidR="006D3B71" w:rsidRPr="006D3B71">
        <w:rPr>
          <w:i/>
          <w:lang w:val="en-US"/>
        </w:rPr>
        <w:t>-Fallback</w:t>
      </w:r>
      <w:r w:rsidR="006D3B71">
        <w:rPr>
          <w:lang w:val="en-US"/>
        </w:rPr>
        <w:t xml:space="preserve"> indication</w:t>
      </w:r>
      <w:r>
        <w:rPr>
          <w:lang w:val="en-US"/>
        </w:rPr>
        <w:t xml:space="preserve">. Further, NB-IoT running CR has not identified any changes related to MT-EDT in </w:t>
      </w:r>
      <w:r w:rsidR="006D3B71">
        <w:rPr>
          <w:lang w:val="en-US"/>
        </w:rPr>
        <w:t>5.3.3.1</w:t>
      </w:r>
      <w:r>
        <w:rPr>
          <w:lang w:val="en-US"/>
        </w:rPr>
        <w:t>.</w:t>
      </w:r>
    </w:p>
    <w:p w14:paraId="384E0B7C" w14:textId="2E84B62D" w:rsidR="00450B4B" w:rsidRDefault="00450B4B" w:rsidP="003D2691">
      <w:pPr>
        <w:pStyle w:val="Proposal"/>
      </w:pPr>
      <w:bookmarkStart w:id="17" w:name="_Toc23946098"/>
      <w:bookmarkStart w:id="18" w:name="_Toc23951874"/>
      <w:bookmarkStart w:id="19" w:name="_Toc24028478"/>
      <w:bookmarkStart w:id="20" w:name="_Toc24028579"/>
      <w:bookmarkStart w:id="21" w:name="_Toc24029623"/>
      <w:bookmarkStart w:id="22" w:name="_Toc24029975"/>
      <w:bookmarkStart w:id="23" w:name="_Toc24061002"/>
      <w:r>
        <w:t>Remove Editor’s Note</w:t>
      </w:r>
      <w:r w:rsidR="00B51210">
        <w:t>s</w:t>
      </w:r>
      <w:r>
        <w:t xml:space="preserve"> related to MT-EDT from 5.3.3.1</w:t>
      </w:r>
      <w:r w:rsidR="006D3B71">
        <w:t xml:space="preserve"> and 5.6.5.3</w:t>
      </w:r>
      <w:r>
        <w:t>.</w:t>
      </w:r>
      <w:bookmarkEnd w:id="17"/>
      <w:bookmarkEnd w:id="18"/>
      <w:bookmarkEnd w:id="19"/>
      <w:bookmarkEnd w:id="20"/>
      <w:bookmarkEnd w:id="21"/>
      <w:bookmarkEnd w:id="22"/>
      <w:bookmarkEnd w:id="23"/>
    </w:p>
    <w:p w14:paraId="781D60FF" w14:textId="03716C77" w:rsidR="006D3B71" w:rsidRDefault="006D3B71" w:rsidP="006D3B71">
      <w:pPr>
        <w:pStyle w:val="Proposal"/>
        <w:numPr>
          <w:ilvl w:val="0"/>
          <w:numId w:val="0"/>
        </w:numPr>
        <w:ind w:left="360" w:hanging="360"/>
      </w:pPr>
    </w:p>
    <w:p w14:paraId="315AD318" w14:textId="71F9E464" w:rsidR="00F3465C" w:rsidRDefault="00F3465C" w:rsidP="00F3465C">
      <w:pPr>
        <w:pStyle w:val="Heading2"/>
        <w:ind w:left="540"/>
      </w:pPr>
      <w:r>
        <w:t>Establishment Cause for CP MT EDT</w:t>
      </w:r>
    </w:p>
    <w:p w14:paraId="1ABBD122" w14:textId="44005E43" w:rsidR="00F3465C" w:rsidRDefault="00F3465C" w:rsidP="00F3465C">
      <w:r>
        <w:t>In RAN2#107bis: following was agreed:</w:t>
      </w:r>
    </w:p>
    <w:p w14:paraId="7C332C10" w14:textId="57CC4CB3" w:rsidR="00F3465C" w:rsidRDefault="00F3465C" w:rsidP="00F3465C">
      <w:pPr>
        <w:pStyle w:val="Agreement"/>
        <w:tabs>
          <w:tab w:val="clear" w:pos="360"/>
          <w:tab w:val="num" w:pos="1619"/>
        </w:tabs>
        <w:ind w:left="1619"/>
        <w:rPr>
          <w:b w:val="0"/>
          <w:lang w:val="en-US"/>
        </w:rPr>
      </w:pPr>
      <w:r w:rsidRPr="002F1249">
        <w:rPr>
          <w:b w:val="0"/>
          <w:lang w:val="en-US"/>
        </w:rPr>
        <w:lastRenderedPageBreak/>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55F083CF" w14:textId="77777777" w:rsidR="00F3465C" w:rsidRPr="002F1249" w:rsidRDefault="00F3465C" w:rsidP="00F3465C">
      <w:pPr>
        <w:pStyle w:val="Agreement"/>
        <w:tabs>
          <w:tab w:val="clear" w:pos="360"/>
          <w:tab w:val="num" w:pos="1619"/>
        </w:tabs>
        <w:ind w:left="1619"/>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53A7583A" w14:textId="433F25C1" w:rsidR="00F3465C" w:rsidRDefault="00F3465C" w:rsidP="00F3465C">
      <w:pPr>
        <w:rPr>
          <w:lang w:val="en-US" w:eastAsia="en-GB"/>
        </w:rPr>
      </w:pPr>
    </w:p>
    <w:p w14:paraId="2C8A82E3" w14:textId="5AD106A2" w:rsidR="00F5212B" w:rsidRDefault="00F5212B" w:rsidP="00F5212B">
      <w:pPr>
        <w:rPr>
          <w:lang w:val="en-US" w:eastAsia="en-GB"/>
        </w:rPr>
      </w:pPr>
      <w:r>
        <w:rPr>
          <w:lang w:val="en-US" w:eastAsia="en-GB"/>
        </w:rPr>
        <w:t xml:space="preserve">Our understanding was “the MT-Data establishment </w:t>
      </w:r>
      <w:proofErr w:type="spellStart"/>
      <w:r>
        <w:rPr>
          <w:lang w:val="en-US" w:eastAsia="en-GB"/>
        </w:rPr>
        <w:t>cause</w:t>
      </w:r>
      <w:proofErr w:type="spellEnd"/>
      <w:r>
        <w:rPr>
          <w:lang w:val="en-US" w:eastAsia="en-GB"/>
        </w:rPr>
        <w:t>” in the above agreement for CP MT-EDT referred to “the” same cause value as in UP-EDT. However, one company raised during the email discussion that it can be mt-Access (not mt-EDT). It seems preferable to have same establishment cause for MT-EDT in both cases (UP and CP) given that in both cases the cause value needs to be added in msg3.</w:t>
      </w:r>
    </w:p>
    <w:p w14:paraId="1D5C2F02" w14:textId="3AE69955" w:rsidR="00A27D06" w:rsidRPr="00A366DE" w:rsidRDefault="00A27D06" w:rsidP="00F3465C">
      <w:pPr>
        <w:pStyle w:val="Proposal"/>
      </w:pPr>
      <w:bookmarkStart w:id="24" w:name="_Toc23951875"/>
      <w:bookmarkStart w:id="25" w:name="_Toc24028479"/>
      <w:bookmarkStart w:id="26" w:name="_Toc24028580"/>
      <w:bookmarkStart w:id="27" w:name="_Toc24029624"/>
      <w:bookmarkStart w:id="28" w:name="_Toc24029976"/>
      <w:bookmarkStart w:id="29" w:name="_Toc24061003"/>
      <w:r>
        <w:t xml:space="preserve">Confirm that </w:t>
      </w:r>
      <w:r w:rsidR="00547CE3">
        <w:t xml:space="preserve">mt-EDT is used as </w:t>
      </w:r>
      <w:r>
        <w:t>establishment cause for MT</w:t>
      </w:r>
      <w:r w:rsidR="00B51210">
        <w:t>-</w:t>
      </w:r>
      <w:r>
        <w:t xml:space="preserve">EDT in </w:t>
      </w:r>
      <w:proofErr w:type="spellStart"/>
      <w:r>
        <w:t>RRCEarlyDataRequest</w:t>
      </w:r>
      <w:proofErr w:type="spellEnd"/>
      <w:r>
        <w:t>.</w:t>
      </w:r>
      <w:bookmarkEnd w:id="24"/>
      <w:bookmarkEnd w:id="25"/>
      <w:bookmarkEnd w:id="26"/>
      <w:bookmarkEnd w:id="27"/>
      <w:bookmarkEnd w:id="28"/>
      <w:bookmarkEnd w:id="29"/>
    </w:p>
    <w:p w14:paraId="5D2D03F5" w14:textId="47996B62" w:rsidR="00F3465C" w:rsidRDefault="00ED4B4F" w:rsidP="00FA41F7">
      <w:pPr>
        <w:pStyle w:val="Heading2"/>
        <w:ind w:left="540"/>
      </w:pPr>
      <w:r>
        <w:t xml:space="preserve">Handling of </w:t>
      </w:r>
      <w:proofErr w:type="spellStart"/>
      <w:r>
        <w:t>mt</w:t>
      </w:r>
      <w:proofErr w:type="spellEnd"/>
      <w:r>
        <w:t>-EDT indication</w:t>
      </w:r>
      <w:r w:rsidR="00FA41F7">
        <w:t xml:space="preserve"> received</w:t>
      </w:r>
      <w:r>
        <w:t xml:space="preserve"> in </w:t>
      </w:r>
      <w:r w:rsidR="00FA41F7">
        <w:t>P</w:t>
      </w:r>
      <w:r>
        <w:t>aging</w:t>
      </w:r>
    </w:p>
    <w:p w14:paraId="78985C20" w14:textId="4906EC9A" w:rsidR="00ED4B4F" w:rsidRDefault="00ED4B4F" w:rsidP="00F3465C">
      <w:r>
        <w:t xml:space="preserve">RAN2 has not discussed yet whether the </w:t>
      </w:r>
      <w:proofErr w:type="spellStart"/>
      <w:r>
        <w:t>mt</w:t>
      </w:r>
      <w:proofErr w:type="spellEnd"/>
      <w:r>
        <w:t xml:space="preserve">-EDT indication included in Paging message is forwarded to upper layers or completely handled within </w:t>
      </w:r>
      <w:r w:rsidR="00FA41F7">
        <w:t>AS</w:t>
      </w:r>
      <w:r>
        <w:t>.</w:t>
      </w:r>
    </w:p>
    <w:p w14:paraId="00F4949F" w14:textId="466F80EF" w:rsidR="00ED4B4F" w:rsidRDefault="00ED4B4F" w:rsidP="00F3465C">
      <w:r>
        <w:t xml:space="preserve">To keep the AS-NAS interaction to the minimum, we think there is no need to explicitly indicate presence of </w:t>
      </w:r>
      <w:proofErr w:type="spellStart"/>
      <w:r>
        <w:t>mt</w:t>
      </w:r>
      <w:proofErr w:type="spellEnd"/>
      <w:r>
        <w:t xml:space="preserve">-EDT indication in </w:t>
      </w:r>
      <w:r w:rsidR="00A366DE">
        <w:t>P</w:t>
      </w:r>
      <w:r>
        <w:t>aging</w:t>
      </w:r>
      <w:r w:rsidR="00A366DE">
        <w:t xml:space="preserve"> to upper layers</w:t>
      </w:r>
      <w:r>
        <w:t xml:space="preserve">. The AS forwards </w:t>
      </w:r>
      <w:proofErr w:type="spellStart"/>
      <w:r>
        <w:t>ue</w:t>
      </w:r>
      <w:proofErr w:type="spellEnd"/>
      <w:r>
        <w:t xml:space="preserve">-Identity and other indications as in legacy to upper layers. </w:t>
      </w:r>
      <w:r w:rsidR="00A366DE">
        <w:t xml:space="preserve">If NAS decides to </w:t>
      </w:r>
      <w:r>
        <w:t>initiate establishment or resumption based on the legacy procedure</w:t>
      </w:r>
      <w:r w:rsidR="00A366DE">
        <w:t>, it would likely use</w:t>
      </w:r>
      <w:r>
        <w:t xml:space="preserve"> the establishment cause </w:t>
      </w:r>
      <w:proofErr w:type="spellStart"/>
      <w:r>
        <w:t>mt</w:t>
      </w:r>
      <w:proofErr w:type="spellEnd"/>
      <w:r>
        <w:t xml:space="preserve">-Access. </w:t>
      </w:r>
      <w:r w:rsidR="00EF65F5">
        <w:t>The RRC would include the resume cause/establishment cause according to earlier agreements for the case of MT-EDT</w:t>
      </w:r>
      <w:r w:rsidR="00A366DE">
        <w:t xml:space="preserve"> (depending on CP or UP case, whether MO_EDT is initiated or not.)</w:t>
      </w:r>
      <w:r w:rsidR="00EF65F5">
        <w:t xml:space="preserve">. </w:t>
      </w:r>
    </w:p>
    <w:p w14:paraId="3EB23168" w14:textId="253D8E03" w:rsidR="00A366DE" w:rsidRDefault="00A366DE" w:rsidP="00A366DE">
      <w:pPr>
        <w:pStyle w:val="Proposal"/>
      </w:pPr>
      <w:bookmarkStart w:id="30" w:name="_Toc23951876"/>
      <w:bookmarkStart w:id="31" w:name="_Toc24028480"/>
      <w:bookmarkStart w:id="32" w:name="_Toc24028581"/>
      <w:bookmarkStart w:id="33" w:name="_Toc24029625"/>
      <w:bookmarkStart w:id="34" w:name="_Toc24029977"/>
      <w:bookmarkStart w:id="35" w:name="_Toc24061004"/>
      <w:r>
        <w:t>mt-EDT indication received in Paging is not forwarded to NAS.</w:t>
      </w:r>
      <w:bookmarkEnd w:id="30"/>
      <w:bookmarkEnd w:id="31"/>
      <w:bookmarkEnd w:id="32"/>
      <w:bookmarkEnd w:id="33"/>
      <w:bookmarkEnd w:id="34"/>
      <w:bookmarkEnd w:id="35"/>
    </w:p>
    <w:p w14:paraId="457DD152" w14:textId="5390E190" w:rsidR="00A366DE" w:rsidRDefault="00A366DE" w:rsidP="00A366DE">
      <w:r>
        <w:t>An Editor’s note is currently captured in 5.3.2.3:</w:t>
      </w:r>
    </w:p>
    <w:p w14:paraId="27B0BD55" w14:textId="5434F749" w:rsidR="00A366DE" w:rsidRDefault="00A366DE" w:rsidP="00A366DE">
      <w:pPr>
        <w:pStyle w:val="EditorsNote"/>
      </w:pPr>
      <w:r>
        <w:t>Editor’s note: Further procedure may need to</w:t>
      </w:r>
      <w:r>
        <w:rPr>
          <w:lang w:val="en-US"/>
        </w:rPr>
        <w:t xml:space="preserve"> be specified on</w:t>
      </w:r>
      <w:r>
        <w:t xml:space="preserve"> UE </w:t>
      </w:r>
      <w:proofErr w:type="spellStart"/>
      <w:r>
        <w:t>behaviour</w:t>
      </w:r>
      <w:proofErr w:type="spellEnd"/>
      <w:r>
        <w:t xml:space="preserve"> for the case “</w:t>
      </w:r>
      <w:r w:rsidRPr="005134A4">
        <w:t xml:space="preserve">if in RRC_IDLE, the </w:t>
      </w:r>
      <w:r>
        <w:rPr>
          <w:bCs/>
          <w:i/>
          <w:noProof/>
          <w:lang w:val="en-US" w:eastAsia="zh-CN"/>
        </w:rPr>
        <w:t xml:space="preserve">MT EDT initiation </w:t>
      </w:r>
      <w:r w:rsidRPr="00403BB7">
        <w:rPr>
          <w:bCs/>
          <w:noProof/>
          <w:lang w:val="en-US" w:eastAsia="zh-CN"/>
        </w:rPr>
        <w:t>is indicated</w:t>
      </w:r>
      <w:r w:rsidRPr="00403BB7">
        <w:t xml:space="preserve"> and</w:t>
      </w:r>
      <w:r w:rsidRPr="005134A4">
        <w:t xml:space="preserve"> the UE is </w:t>
      </w:r>
      <w:r>
        <w:t>MT-EDT</w:t>
      </w:r>
      <w:r w:rsidRPr="005134A4">
        <w:t xml:space="preserve"> capable</w:t>
      </w:r>
      <w:r>
        <w:t>:”.</w:t>
      </w:r>
    </w:p>
    <w:p w14:paraId="0EFF8C7B" w14:textId="7DA7A2C2" w:rsidR="00A366DE" w:rsidRPr="00A366DE" w:rsidRDefault="00A366DE" w:rsidP="00A366DE">
      <w:pPr>
        <w:pStyle w:val="Proposal"/>
      </w:pPr>
      <w:bookmarkStart w:id="36" w:name="_Toc23951877"/>
      <w:bookmarkStart w:id="37" w:name="_Toc24028481"/>
      <w:bookmarkStart w:id="38" w:name="_Toc24028582"/>
      <w:bookmarkStart w:id="39" w:name="_Toc24029626"/>
      <w:bookmarkStart w:id="40" w:name="_Toc24029978"/>
      <w:bookmarkStart w:id="41" w:name="_Toc24061005"/>
      <w:r>
        <w:t xml:space="preserve">In 5.3.2.3: add normative text “If </w:t>
      </w:r>
      <w:r w:rsidRPr="005134A4">
        <w:t xml:space="preserve">in RRC_IDLE, the </w:t>
      </w:r>
      <w:r>
        <w:rPr>
          <w:bCs/>
          <w:i/>
          <w:noProof/>
          <w:lang w:eastAsia="zh-CN"/>
        </w:rPr>
        <w:t xml:space="preserve">mt-EDT </w:t>
      </w:r>
      <w:r>
        <w:rPr>
          <w:bCs/>
          <w:noProof/>
          <w:lang w:eastAsia="zh-CN"/>
        </w:rPr>
        <w:t xml:space="preserve">is included in the Paging message </w:t>
      </w:r>
      <w:r w:rsidRPr="00403BB7">
        <w:t>and</w:t>
      </w:r>
      <w:r w:rsidRPr="005134A4">
        <w:t xml:space="preserve"> the UE is </w:t>
      </w:r>
      <w:r>
        <w:t>capable of mobile terminated EDT, the UE may initiate EDT in accordance with conditions in 5.3.3.1b.” Remove Editor’s note.</w:t>
      </w:r>
      <w:bookmarkEnd w:id="36"/>
      <w:bookmarkEnd w:id="37"/>
      <w:bookmarkEnd w:id="38"/>
      <w:bookmarkEnd w:id="39"/>
      <w:bookmarkEnd w:id="40"/>
      <w:bookmarkEnd w:id="41"/>
      <w:r>
        <w:t xml:space="preserve"> </w:t>
      </w:r>
    </w:p>
    <w:p w14:paraId="6B9F2337" w14:textId="5C590F7F" w:rsidR="00C83108" w:rsidRDefault="0064248D" w:rsidP="00A366DE">
      <w:r>
        <w:t xml:space="preserve">This means AS </w:t>
      </w:r>
      <w:r w:rsidR="00A6689C">
        <w:t>needs</w:t>
      </w:r>
      <w:r>
        <w:t xml:space="preserve"> to remember that it ha</w:t>
      </w:r>
      <w:r w:rsidR="00A6689C">
        <w:t>s</w:t>
      </w:r>
      <w:r>
        <w:t xml:space="preserve"> received </w:t>
      </w:r>
      <w:proofErr w:type="spellStart"/>
      <w:r>
        <w:t>mt</w:t>
      </w:r>
      <w:proofErr w:type="spellEnd"/>
      <w:r>
        <w:t xml:space="preserve">-EDT in paging message and if it gets </w:t>
      </w:r>
      <w:proofErr w:type="spellStart"/>
      <w:r>
        <w:t>mt</w:t>
      </w:r>
      <w:proofErr w:type="spellEnd"/>
      <w:r>
        <w:t>-Access indication from upper layers then it should follow EDT procedure. Therefore, upon reception of such</w:t>
      </w:r>
      <w:r w:rsidR="00C83108">
        <w:t xml:space="preserve"> indication in</w:t>
      </w:r>
      <w:r>
        <w:t xml:space="preserve"> </w:t>
      </w:r>
      <w:r w:rsidR="00C83108">
        <w:t>P</w:t>
      </w:r>
      <w:r>
        <w:t>aging message, AS should store the indication</w:t>
      </w:r>
      <w:r w:rsidR="00C83108">
        <w:t>.</w:t>
      </w:r>
      <w:r>
        <w:t xml:space="preserve"> Additionally, upon initiation of EDT in response to </w:t>
      </w:r>
      <w:proofErr w:type="spellStart"/>
      <w:r>
        <w:t>mt</w:t>
      </w:r>
      <w:proofErr w:type="spellEnd"/>
      <w:r>
        <w:t xml:space="preserve">-EDT indication in paging, AS should discard the stored </w:t>
      </w:r>
      <w:proofErr w:type="spellStart"/>
      <w:r>
        <w:t>mt</w:t>
      </w:r>
      <w:proofErr w:type="spellEnd"/>
      <w:r>
        <w:t>-EDT indication.</w:t>
      </w:r>
    </w:p>
    <w:p w14:paraId="3A7D0C9E" w14:textId="77777777" w:rsidR="007F7144" w:rsidRDefault="00C83108" w:rsidP="00C83108">
      <w:pPr>
        <w:pStyle w:val="Proposal"/>
      </w:pPr>
      <w:bookmarkStart w:id="42" w:name="_Toc24029627"/>
      <w:bookmarkStart w:id="43" w:name="_Toc24029979"/>
      <w:bookmarkStart w:id="44" w:name="_Toc24028482"/>
      <w:bookmarkStart w:id="45" w:name="_Toc24028583"/>
      <w:bookmarkStart w:id="46" w:name="_Toc24061006"/>
      <w:r>
        <w:t>AS stores mt-EDT indication upon</w:t>
      </w:r>
      <w:r w:rsidR="00542EFD">
        <w:t xml:space="preserve"> reception</w:t>
      </w:r>
      <w:r>
        <w:t xml:space="preserve"> of such indication in Paging message.</w:t>
      </w:r>
      <w:bookmarkEnd w:id="42"/>
      <w:bookmarkEnd w:id="43"/>
      <w:bookmarkEnd w:id="46"/>
      <w:r>
        <w:t xml:space="preserve"> </w:t>
      </w:r>
    </w:p>
    <w:p w14:paraId="1FB2017B" w14:textId="6B0C2043" w:rsidR="00C83108" w:rsidRPr="00494055" w:rsidRDefault="00C83108" w:rsidP="00C83108">
      <w:pPr>
        <w:pStyle w:val="Proposal"/>
      </w:pPr>
      <w:bookmarkStart w:id="47" w:name="_Toc24029628"/>
      <w:bookmarkStart w:id="48" w:name="_Toc24029980"/>
      <w:bookmarkStart w:id="49" w:name="_Toc24061007"/>
      <w:r>
        <w:t xml:space="preserve">AS discards </w:t>
      </w:r>
      <w:r w:rsidR="007F7144">
        <w:t xml:space="preserve">the stored </w:t>
      </w:r>
      <w:r>
        <w:t xml:space="preserve">mt-EDT indication upon initiation of EDT in response to mt-EDT indication in </w:t>
      </w:r>
      <w:r w:rsidR="007F7144">
        <w:t>P</w:t>
      </w:r>
      <w:r>
        <w:t>aging</w:t>
      </w:r>
      <w:bookmarkEnd w:id="44"/>
      <w:r w:rsidR="007F7144">
        <w:t>, or upon reception of subsequent</w:t>
      </w:r>
      <w:r w:rsidR="007F7144" w:rsidRPr="007F7144">
        <w:t xml:space="preserve"> </w:t>
      </w:r>
      <w:r w:rsidR="004B47AF">
        <w:t>P</w:t>
      </w:r>
      <w:r w:rsidR="007F7144" w:rsidRPr="007F7144">
        <w:t>aging message without mt-EDT</w:t>
      </w:r>
      <w:r w:rsidR="007F7144">
        <w:t xml:space="preserve"> indication,</w:t>
      </w:r>
      <w:r w:rsidR="007F7144" w:rsidRPr="007F7144">
        <w:t xml:space="preserve"> or </w:t>
      </w:r>
      <w:r w:rsidR="007F7144">
        <w:t xml:space="preserve">upon initiating </w:t>
      </w:r>
      <w:r w:rsidR="007F7144" w:rsidRPr="007F7144">
        <w:t>any other access</w:t>
      </w:r>
      <w:r w:rsidR="00542EFD">
        <w:t>.</w:t>
      </w:r>
      <w:bookmarkEnd w:id="45"/>
      <w:bookmarkEnd w:id="47"/>
      <w:bookmarkEnd w:id="48"/>
      <w:bookmarkEnd w:id="49"/>
      <w:r>
        <w:t xml:space="preserve"> </w:t>
      </w:r>
    </w:p>
    <w:p w14:paraId="70582CD7" w14:textId="124F31B3" w:rsidR="005F33BA" w:rsidRDefault="000A1DBB" w:rsidP="00881488">
      <w:pPr>
        <w:pStyle w:val="Heading1"/>
      </w:pPr>
      <w:r>
        <w:t>Summary</w:t>
      </w:r>
    </w:p>
    <w:p w14:paraId="0332560E" w14:textId="0804B8E5" w:rsidR="000A1DBB" w:rsidRDefault="00A42751" w:rsidP="00F73115">
      <w:r>
        <w:t xml:space="preserve">In this document, we discuss about some of the Editor’s Notes and </w:t>
      </w:r>
      <w:proofErr w:type="spellStart"/>
      <w:r>
        <w:t>FFSes</w:t>
      </w:r>
      <w:proofErr w:type="spellEnd"/>
      <w:r>
        <w:t xml:space="preserve"> in the running CR and aim to propose resolutions as follows</w:t>
      </w:r>
      <w:r w:rsidR="00881488">
        <w:t>:</w:t>
      </w:r>
      <w:bookmarkStart w:id="50" w:name="_GoBack"/>
      <w:bookmarkEnd w:id="50"/>
    </w:p>
    <w:p w14:paraId="61CC0BB0" w14:textId="77777777" w:rsidR="00843EAB" w:rsidRPr="00843EAB" w:rsidRDefault="00881488">
      <w:pPr>
        <w:pStyle w:val="TOC1"/>
        <w:rPr>
          <w:rFonts w:asciiTheme="minorHAnsi" w:eastAsiaTheme="minorEastAsia" w:hAnsiTheme="minorHAnsi" w:cstheme="minorBidi"/>
          <w:b/>
          <w:noProof/>
          <w:sz w:val="22"/>
          <w:szCs w:val="22"/>
          <w:lang w:val="en-US"/>
        </w:rPr>
      </w:pPr>
      <w:r w:rsidRPr="00843EAB">
        <w:rPr>
          <w:b/>
        </w:rPr>
        <w:lastRenderedPageBreak/>
        <w:fldChar w:fldCharType="begin"/>
      </w:r>
      <w:r w:rsidRPr="00843EAB">
        <w:rPr>
          <w:b/>
        </w:rPr>
        <w:instrText xml:space="preserve"> TOC \t "Proposal" \z \n</w:instrText>
      </w:r>
      <w:r w:rsidRPr="00843EAB">
        <w:rPr>
          <w:b/>
        </w:rPr>
        <w:fldChar w:fldCharType="separate"/>
      </w:r>
      <w:r w:rsidR="00843EAB" w:rsidRPr="00843EAB">
        <w:rPr>
          <w:b/>
          <w:noProof/>
        </w:rPr>
        <w:t>Proposal 1.</w:t>
      </w:r>
      <w:r w:rsidR="00843EAB" w:rsidRPr="00843EAB">
        <w:rPr>
          <w:rFonts w:asciiTheme="minorHAnsi" w:eastAsiaTheme="minorEastAsia" w:hAnsiTheme="minorHAnsi" w:cstheme="minorBidi"/>
          <w:b/>
          <w:noProof/>
          <w:sz w:val="22"/>
          <w:szCs w:val="22"/>
          <w:lang w:val="en-US"/>
        </w:rPr>
        <w:tab/>
      </w:r>
      <w:r w:rsidR="00843EAB" w:rsidRPr="00843EAB">
        <w:rPr>
          <w:b/>
          <w:noProof/>
        </w:rPr>
        <w:t>Regardless of UE receiving mt-EDT indication in Paging, if transmission of UL data is initiated using EDT the subsequent procedure is considered MO-EDT (e.g. resume cause/establishment cause used in MO-EDT applies).</w:t>
      </w:r>
    </w:p>
    <w:p w14:paraId="6BE94091"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2.</w:t>
      </w:r>
      <w:r w:rsidRPr="00843EAB">
        <w:rPr>
          <w:rFonts w:asciiTheme="minorHAnsi" w:eastAsiaTheme="minorEastAsia" w:hAnsiTheme="minorHAnsi" w:cstheme="minorBidi"/>
          <w:b/>
          <w:noProof/>
          <w:sz w:val="22"/>
          <w:szCs w:val="22"/>
          <w:lang w:val="en-US"/>
        </w:rPr>
        <w:tab/>
      </w:r>
      <w:r w:rsidRPr="00843EAB">
        <w:rPr>
          <w:b/>
          <w:noProof/>
        </w:rPr>
        <w:t>Update EDT definition to include MT-EDT as follows: change the start of first sentence to “Mobile originated EDT allows ...” and add “Mobile terminated EDT allows one downlink data transmission during the random access procedure as specified in TS 36.300 [9].” after second sentence.</w:t>
      </w:r>
    </w:p>
    <w:p w14:paraId="6E5EEE83"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3.</w:t>
      </w:r>
      <w:r w:rsidRPr="00843EAB">
        <w:rPr>
          <w:rFonts w:asciiTheme="minorHAnsi" w:eastAsiaTheme="minorEastAsia" w:hAnsiTheme="minorHAnsi" w:cstheme="minorBidi"/>
          <w:b/>
          <w:noProof/>
          <w:sz w:val="22"/>
          <w:szCs w:val="22"/>
          <w:lang w:val="en-US"/>
        </w:rPr>
        <w:tab/>
      </w:r>
      <w:r w:rsidRPr="00843EAB">
        <w:rPr>
          <w:b/>
          <w:noProof/>
        </w:rPr>
        <w:t>Remove Editor’s Notes related to MT-EDT from 5.3.3.1 and 5.6.5.3.</w:t>
      </w:r>
    </w:p>
    <w:p w14:paraId="4AF110E6"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4.</w:t>
      </w:r>
      <w:r w:rsidRPr="00843EAB">
        <w:rPr>
          <w:rFonts w:asciiTheme="minorHAnsi" w:eastAsiaTheme="minorEastAsia" w:hAnsiTheme="minorHAnsi" w:cstheme="minorBidi"/>
          <w:b/>
          <w:noProof/>
          <w:sz w:val="22"/>
          <w:szCs w:val="22"/>
          <w:lang w:val="en-US"/>
        </w:rPr>
        <w:tab/>
      </w:r>
      <w:r w:rsidRPr="00843EAB">
        <w:rPr>
          <w:b/>
          <w:noProof/>
        </w:rPr>
        <w:t>Confirm that mt-EDT is used as establishment cause for MT-EDT in RRCEarlyDataRequest.</w:t>
      </w:r>
    </w:p>
    <w:p w14:paraId="1D222465"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5.</w:t>
      </w:r>
      <w:r w:rsidRPr="00843EAB">
        <w:rPr>
          <w:rFonts w:asciiTheme="minorHAnsi" w:eastAsiaTheme="minorEastAsia" w:hAnsiTheme="minorHAnsi" w:cstheme="minorBidi"/>
          <w:b/>
          <w:noProof/>
          <w:sz w:val="22"/>
          <w:szCs w:val="22"/>
          <w:lang w:val="en-US"/>
        </w:rPr>
        <w:tab/>
      </w:r>
      <w:r w:rsidRPr="00843EAB">
        <w:rPr>
          <w:b/>
          <w:noProof/>
        </w:rPr>
        <w:t>mt-EDT indication received in Paging is not forwarded to NAS.</w:t>
      </w:r>
    </w:p>
    <w:p w14:paraId="41DAEC31"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6.</w:t>
      </w:r>
      <w:r w:rsidRPr="00843EAB">
        <w:rPr>
          <w:rFonts w:asciiTheme="minorHAnsi" w:eastAsiaTheme="minorEastAsia" w:hAnsiTheme="minorHAnsi" w:cstheme="minorBidi"/>
          <w:b/>
          <w:noProof/>
          <w:sz w:val="22"/>
          <w:szCs w:val="22"/>
          <w:lang w:val="en-US"/>
        </w:rPr>
        <w:tab/>
      </w:r>
      <w:r w:rsidRPr="00843EAB">
        <w:rPr>
          <w:b/>
          <w:noProof/>
        </w:rPr>
        <w:t xml:space="preserve">In 5.3.2.3: add normative text “If in RRC_IDLE, the </w:t>
      </w:r>
      <w:r w:rsidRPr="00843EAB">
        <w:rPr>
          <w:b/>
          <w:bCs/>
          <w:i/>
          <w:noProof/>
          <w:lang w:eastAsia="zh-CN"/>
        </w:rPr>
        <w:t xml:space="preserve">mt-EDT </w:t>
      </w:r>
      <w:r w:rsidRPr="00843EAB">
        <w:rPr>
          <w:b/>
          <w:bCs/>
          <w:noProof/>
          <w:lang w:eastAsia="zh-CN"/>
        </w:rPr>
        <w:t xml:space="preserve">is included in the Paging message </w:t>
      </w:r>
      <w:r w:rsidRPr="00843EAB">
        <w:rPr>
          <w:b/>
          <w:noProof/>
        </w:rPr>
        <w:t>and the UE is capable of mobile terminated EDT, the UE may initiate EDT in accordance with conditions in 5.3.3.1b.” Remove Editor’s note.</w:t>
      </w:r>
    </w:p>
    <w:p w14:paraId="06A3E1CE"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7.</w:t>
      </w:r>
      <w:r w:rsidRPr="00843EAB">
        <w:rPr>
          <w:rFonts w:asciiTheme="minorHAnsi" w:eastAsiaTheme="minorEastAsia" w:hAnsiTheme="minorHAnsi" w:cstheme="minorBidi"/>
          <w:b/>
          <w:noProof/>
          <w:sz w:val="22"/>
          <w:szCs w:val="22"/>
          <w:lang w:val="en-US"/>
        </w:rPr>
        <w:tab/>
      </w:r>
      <w:r w:rsidRPr="00843EAB">
        <w:rPr>
          <w:b/>
          <w:noProof/>
        </w:rPr>
        <w:t>AS stores mt-EDT indication upon reception of such indication in Paging message.</w:t>
      </w:r>
    </w:p>
    <w:p w14:paraId="581A52AF" w14:textId="77777777" w:rsidR="00843EAB" w:rsidRPr="00843EAB" w:rsidRDefault="00843EAB">
      <w:pPr>
        <w:pStyle w:val="TOC1"/>
        <w:rPr>
          <w:rFonts w:asciiTheme="minorHAnsi" w:eastAsiaTheme="minorEastAsia" w:hAnsiTheme="minorHAnsi" w:cstheme="minorBidi"/>
          <w:b/>
          <w:noProof/>
          <w:sz w:val="22"/>
          <w:szCs w:val="22"/>
          <w:lang w:val="en-US"/>
        </w:rPr>
      </w:pPr>
      <w:r w:rsidRPr="00843EAB">
        <w:rPr>
          <w:b/>
          <w:noProof/>
        </w:rPr>
        <w:t>Proposal 8.</w:t>
      </w:r>
      <w:r w:rsidRPr="00843EAB">
        <w:rPr>
          <w:rFonts w:asciiTheme="minorHAnsi" w:eastAsiaTheme="minorEastAsia" w:hAnsiTheme="minorHAnsi" w:cstheme="minorBidi"/>
          <w:b/>
          <w:noProof/>
          <w:sz w:val="22"/>
          <w:szCs w:val="22"/>
          <w:lang w:val="en-US"/>
        </w:rPr>
        <w:tab/>
      </w:r>
      <w:r w:rsidRPr="00843EAB">
        <w:rPr>
          <w:b/>
          <w:noProof/>
        </w:rPr>
        <w:t>AS discards the stored mt-EDT indication upon initiation of EDT in response to mt-EDT indication in Paging, or upon reception of subsequent Paging message without mt-EDT indication, or upon initiating any other access.</w:t>
      </w:r>
    </w:p>
    <w:p w14:paraId="477A8A5E" w14:textId="2FA18084" w:rsidR="00F73115" w:rsidRPr="00881488" w:rsidRDefault="00881488" w:rsidP="00881488">
      <w:pPr>
        <w:jc w:val="both"/>
        <w:rPr>
          <w:b/>
        </w:rPr>
      </w:pPr>
      <w:r w:rsidRPr="00843EAB">
        <w:rPr>
          <w:b/>
        </w:rPr>
        <w:fldChar w:fldCharType="end"/>
      </w:r>
    </w:p>
    <w:sectPr w:rsidR="00F73115" w:rsidRPr="008814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00653D"/>
    <w:multiLevelType w:val="hybridMultilevel"/>
    <w:tmpl w:val="B964B9FA"/>
    <w:lvl w:ilvl="0" w:tplc="3C28412E">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2"/>
  </w:num>
  <w:num w:numId="4">
    <w:abstractNumId w:val="0"/>
  </w:num>
  <w:num w:numId="5">
    <w:abstractNumId w:val="8"/>
  </w:num>
  <w:num w:numId="6">
    <w:abstractNumId w:val="8"/>
  </w:num>
  <w:num w:numId="7">
    <w:abstractNumId w:val="10"/>
  </w:num>
  <w:num w:numId="8">
    <w:abstractNumId w:val="7"/>
  </w:num>
  <w:num w:numId="9">
    <w:abstractNumId w:val="8"/>
  </w:num>
  <w:num w:numId="10">
    <w:abstractNumId w:val="9"/>
  </w:num>
  <w:num w:numId="11">
    <w:abstractNumId w:val="9"/>
  </w:num>
  <w:num w:numId="12">
    <w:abstractNumId w:val="1"/>
  </w:num>
  <w:num w:numId="13">
    <w:abstractNumId w:val="4"/>
  </w:num>
  <w:num w:numId="14">
    <w:abstractNumId w:val="8"/>
  </w:num>
  <w:num w:numId="15">
    <w:abstractNumId w:val="9"/>
  </w:num>
  <w:num w:numId="16">
    <w:abstractNumId w:val="3"/>
  </w:num>
  <w:num w:numId="17">
    <w:abstractNumId w:val="9"/>
  </w:num>
  <w:num w:numId="18">
    <w:abstractNumId w:val="5"/>
  </w:num>
  <w:num w:numId="19">
    <w:abstractNumId w:val="9"/>
  </w:num>
  <w:num w:numId="20">
    <w:abstractNumId w:val="9"/>
  </w:num>
  <w:num w:numId="21">
    <w:abstractNumId w:val="8"/>
  </w:num>
  <w:num w:numId="22">
    <w:abstractNumId w:val="9"/>
  </w:num>
  <w:num w:numId="23">
    <w:abstractNumId w:val="11"/>
  </w:num>
  <w:num w:numId="24">
    <w:abstractNumId w:val="9"/>
  </w:num>
  <w:num w:numId="25">
    <w:abstractNumId w:val="9"/>
  </w:num>
  <w:num w:numId="26">
    <w:abstractNumId w:val="6"/>
  </w:num>
  <w:num w:numId="27">
    <w:abstractNumId w:val="8"/>
  </w:num>
  <w:num w:numId="28">
    <w:abstractNumId w:val="9"/>
  </w:num>
  <w:num w:numId="29">
    <w:abstractNumId w:val="8"/>
  </w:num>
  <w:num w:numId="30">
    <w:abstractNumId w:val="9"/>
  </w:num>
  <w:num w:numId="31">
    <w:abstractNumId w:val="8"/>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160CD"/>
    <w:rsid w:val="000254D2"/>
    <w:rsid w:val="00037AD2"/>
    <w:rsid w:val="00043096"/>
    <w:rsid w:val="000463C5"/>
    <w:rsid w:val="00082CA3"/>
    <w:rsid w:val="000A1DBB"/>
    <w:rsid w:val="000C585C"/>
    <w:rsid w:val="000D54B4"/>
    <w:rsid w:val="000E7BB8"/>
    <w:rsid w:val="00106201"/>
    <w:rsid w:val="00110F3A"/>
    <w:rsid w:val="00115DA9"/>
    <w:rsid w:val="00120D1E"/>
    <w:rsid w:val="00130C8C"/>
    <w:rsid w:val="00134444"/>
    <w:rsid w:val="00135B1C"/>
    <w:rsid w:val="00147FED"/>
    <w:rsid w:val="0015174F"/>
    <w:rsid w:val="001635D1"/>
    <w:rsid w:val="00165B7B"/>
    <w:rsid w:val="00171921"/>
    <w:rsid w:val="00184B6F"/>
    <w:rsid w:val="001858BD"/>
    <w:rsid w:val="00197013"/>
    <w:rsid w:val="001A4543"/>
    <w:rsid w:val="001B6F37"/>
    <w:rsid w:val="001D2CA8"/>
    <w:rsid w:val="001E75E8"/>
    <w:rsid w:val="001F1EDC"/>
    <w:rsid w:val="001F24A0"/>
    <w:rsid w:val="002021F0"/>
    <w:rsid w:val="002038A4"/>
    <w:rsid w:val="00206251"/>
    <w:rsid w:val="002239B2"/>
    <w:rsid w:val="00233392"/>
    <w:rsid w:val="00233DA2"/>
    <w:rsid w:val="00256458"/>
    <w:rsid w:val="00272C80"/>
    <w:rsid w:val="002914BB"/>
    <w:rsid w:val="00292CC8"/>
    <w:rsid w:val="002B276B"/>
    <w:rsid w:val="002E1CF2"/>
    <w:rsid w:val="00305920"/>
    <w:rsid w:val="00314788"/>
    <w:rsid w:val="0032464F"/>
    <w:rsid w:val="00330DA7"/>
    <w:rsid w:val="003331FA"/>
    <w:rsid w:val="00343619"/>
    <w:rsid w:val="00354D64"/>
    <w:rsid w:val="00372A14"/>
    <w:rsid w:val="00373132"/>
    <w:rsid w:val="00374330"/>
    <w:rsid w:val="00385975"/>
    <w:rsid w:val="00397502"/>
    <w:rsid w:val="003B253B"/>
    <w:rsid w:val="003C3961"/>
    <w:rsid w:val="00402159"/>
    <w:rsid w:val="00404205"/>
    <w:rsid w:val="0042076E"/>
    <w:rsid w:val="00426426"/>
    <w:rsid w:val="004501DF"/>
    <w:rsid w:val="00450B4B"/>
    <w:rsid w:val="0046770E"/>
    <w:rsid w:val="00471FC7"/>
    <w:rsid w:val="00472E99"/>
    <w:rsid w:val="004736B9"/>
    <w:rsid w:val="00485D64"/>
    <w:rsid w:val="00494055"/>
    <w:rsid w:val="004B032F"/>
    <w:rsid w:val="004B47AF"/>
    <w:rsid w:val="004B5C30"/>
    <w:rsid w:val="00537F17"/>
    <w:rsid w:val="00542EFD"/>
    <w:rsid w:val="00543878"/>
    <w:rsid w:val="00547CE3"/>
    <w:rsid w:val="00581BFC"/>
    <w:rsid w:val="00587A85"/>
    <w:rsid w:val="005B5E2A"/>
    <w:rsid w:val="005D386E"/>
    <w:rsid w:val="005F15ED"/>
    <w:rsid w:val="005F33BA"/>
    <w:rsid w:val="00602FA0"/>
    <w:rsid w:val="00610172"/>
    <w:rsid w:val="006144CC"/>
    <w:rsid w:val="00623E86"/>
    <w:rsid w:val="0063223C"/>
    <w:rsid w:val="0063249B"/>
    <w:rsid w:val="0064248D"/>
    <w:rsid w:val="00651F88"/>
    <w:rsid w:val="006707A6"/>
    <w:rsid w:val="00684B9B"/>
    <w:rsid w:val="00696C43"/>
    <w:rsid w:val="006A72F9"/>
    <w:rsid w:val="006B0172"/>
    <w:rsid w:val="006C4B92"/>
    <w:rsid w:val="006D3B71"/>
    <w:rsid w:val="006D6C6E"/>
    <w:rsid w:val="006F4308"/>
    <w:rsid w:val="006F5DA7"/>
    <w:rsid w:val="007410C2"/>
    <w:rsid w:val="007628EE"/>
    <w:rsid w:val="007824E6"/>
    <w:rsid w:val="00796127"/>
    <w:rsid w:val="007B4450"/>
    <w:rsid w:val="007C0E6D"/>
    <w:rsid w:val="007C1DF2"/>
    <w:rsid w:val="007F1098"/>
    <w:rsid w:val="007F7144"/>
    <w:rsid w:val="00807AC9"/>
    <w:rsid w:val="00817F37"/>
    <w:rsid w:val="00843EAB"/>
    <w:rsid w:val="00845B1B"/>
    <w:rsid w:val="00881488"/>
    <w:rsid w:val="0088639E"/>
    <w:rsid w:val="00886F2A"/>
    <w:rsid w:val="008C3F0A"/>
    <w:rsid w:val="008D350D"/>
    <w:rsid w:val="008E5224"/>
    <w:rsid w:val="00913CF2"/>
    <w:rsid w:val="0094010A"/>
    <w:rsid w:val="009551D5"/>
    <w:rsid w:val="0095524E"/>
    <w:rsid w:val="0095630E"/>
    <w:rsid w:val="00957772"/>
    <w:rsid w:val="00960DD3"/>
    <w:rsid w:val="00967200"/>
    <w:rsid w:val="0097268C"/>
    <w:rsid w:val="009C6697"/>
    <w:rsid w:val="009E618E"/>
    <w:rsid w:val="009F40E5"/>
    <w:rsid w:val="00A27D06"/>
    <w:rsid w:val="00A364A3"/>
    <w:rsid w:val="00A366DE"/>
    <w:rsid w:val="00A42751"/>
    <w:rsid w:val="00A4782A"/>
    <w:rsid w:val="00A510FB"/>
    <w:rsid w:val="00A6689C"/>
    <w:rsid w:val="00A87BAE"/>
    <w:rsid w:val="00A956E8"/>
    <w:rsid w:val="00AC036F"/>
    <w:rsid w:val="00AC257F"/>
    <w:rsid w:val="00AC6963"/>
    <w:rsid w:val="00AD326C"/>
    <w:rsid w:val="00AE436C"/>
    <w:rsid w:val="00AE51CE"/>
    <w:rsid w:val="00AE7479"/>
    <w:rsid w:val="00B06488"/>
    <w:rsid w:val="00B13FD5"/>
    <w:rsid w:val="00B14190"/>
    <w:rsid w:val="00B25B5E"/>
    <w:rsid w:val="00B34446"/>
    <w:rsid w:val="00B46732"/>
    <w:rsid w:val="00B500BF"/>
    <w:rsid w:val="00B51210"/>
    <w:rsid w:val="00B52932"/>
    <w:rsid w:val="00B748A1"/>
    <w:rsid w:val="00B765AF"/>
    <w:rsid w:val="00B7670D"/>
    <w:rsid w:val="00B8140C"/>
    <w:rsid w:val="00B91F75"/>
    <w:rsid w:val="00B9515B"/>
    <w:rsid w:val="00BB110E"/>
    <w:rsid w:val="00BE150D"/>
    <w:rsid w:val="00BE3A58"/>
    <w:rsid w:val="00C17742"/>
    <w:rsid w:val="00C23E7B"/>
    <w:rsid w:val="00C70C93"/>
    <w:rsid w:val="00C83108"/>
    <w:rsid w:val="00C849F1"/>
    <w:rsid w:val="00C94CF0"/>
    <w:rsid w:val="00C95F93"/>
    <w:rsid w:val="00C96F8D"/>
    <w:rsid w:val="00CA5212"/>
    <w:rsid w:val="00CB65FE"/>
    <w:rsid w:val="00CC1C5B"/>
    <w:rsid w:val="00CF7202"/>
    <w:rsid w:val="00D01C4F"/>
    <w:rsid w:val="00D40771"/>
    <w:rsid w:val="00D41BFD"/>
    <w:rsid w:val="00D4377E"/>
    <w:rsid w:val="00D63DF7"/>
    <w:rsid w:val="00D64B81"/>
    <w:rsid w:val="00D70E8C"/>
    <w:rsid w:val="00D87EE9"/>
    <w:rsid w:val="00D95568"/>
    <w:rsid w:val="00DD0F21"/>
    <w:rsid w:val="00DD5BB7"/>
    <w:rsid w:val="00E31F53"/>
    <w:rsid w:val="00E71A23"/>
    <w:rsid w:val="00EA78CA"/>
    <w:rsid w:val="00EC7CD1"/>
    <w:rsid w:val="00ED4B4F"/>
    <w:rsid w:val="00EF65F5"/>
    <w:rsid w:val="00F011B3"/>
    <w:rsid w:val="00F04A06"/>
    <w:rsid w:val="00F14800"/>
    <w:rsid w:val="00F154DF"/>
    <w:rsid w:val="00F21310"/>
    <w:rsid w:val="00F34101"/>
    <w:rsid w:val="00F3465C"/>
    <w:rsid w:val="00F4196F"/>
    <w:rsid w:val="00F42A39"/>
    <w:rsid w:val="00F43795"/>
    <w:rsid w:val="00F5212B"/>
    <w:rsid w:val="00F622CE"/>
    <w:rsid w:val="00F64ED3"/>
    <w:rsid w:val="00F66CAC"/>
    <w:rsid w:val="00F73115"/>
    <w:rsid w:val="00F9583B"/>
    <w:rsid w:val="00FA1D68"/>
    <w:rsid w:val="00FA41F7"/>
    <w:rsid w:val="00FD2F34"/>
    <w:rsid w:val="00FF2137"/>
    <w:rsid w:val="00FF7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494055"/>
    <w:pPr>
      <w:numPr>
        <w:numId w:val="5"/>
      </w:numPr>
      <w:spacing w:before="240" w:after="240" w:line="360" w:lineRule="auto"/>
      <w:jc w:val="both"/>
    </w:pPr>
    <w:rPr>
      <w:b/>
      <w:lang w:val="en-US"/>
    </w:rPr>
  </w:style>
  <w:style w:type="character" w:customStyle="1" w:styleId="ProposalChar">
    <w:name w:val="Proposal Char"/>
    <w:basedOn w:val="DefaultParagraphFont"/>
    <w:link w:val="Proposal"/>
    <w:qFormat/>
    <w:rsid w:val="00494055"/>
    <w:rPr>
      <w:rFonts w:ascii="Times New Roman" w:eastAsia="Times New Roman" w:hAnsi="Times New Roman" w:cs="Times New Roman"/>
      <w:b/>
      <w:sz w:val="20"/>
      <w:szCs w:val="20"/>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472063864">
      <w:bodyDiv w:val="1"/>
      <w:marLeft w:val="0"/>
      <w:marRight w:val="0"/>
      <w:marTop w:val="0"/>
      <w:marBottom w:val="0"/>
      <w:divBdr>
        <w:top w:val="none" w:sz="0" w:space="0" w:color="auto"/>
        <w:left w:val="none" w:sz="0" w:space="0" w:color="auto"/>
        <w:bottom w:val="none" w:sz="0" w:space="0" w:color="auto"/>
        <w:right w:val="none" w:sz="0" w:space="0" w:color="auto"/>
      </w:divBdr>
    </w:div>
    <w:div w:id="110241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32</cp:revision>
  <dcterms:created xsi:type="dcterms:W3CDTF">2019-11-06T22:40:00Z</dcterms:created>
  <dcterms:modified xsi:type="dcterms:W3CDTF">2019-11-08T07:16:00Z</dcterms:modified>
</cp:coreProperties>
</file>